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CEB" w:rsidRPr="00BE5CEB" w:rsidRDefault="007C4AD7" w:rsidP="00BE5CEB">
      <w:pPr>
        <w:spacing w:before="300" w:after="150" w:line="240" w:lineRule="auto"/>
        <w:outlineLvl w:val="0"/>
        <w:rPr>
          <w:rFonts w:ascii="Arial" w:eastAsia="Times New Roman" w:hAnsi="Arial" w:cs="Arial"/>
          <w:b/>
          <w:bCs/>
          <w:color w:val="253E8E"/>
          <w:kern w:val="36"/>
          <w:sz w:val="30"/>
          <w:szCs w:val="30"/>
        </w:rPr>
      </w:pPr>
      <w:r>
        <w:rPr>
          <w:rFonts w:ascii="Arial" w:eastAsia="Times New Roman" w:hAnsi="Arial" w:cs="Arial"/>
          <w:b/>
          <w:bCs/>
          <w:color w:val="253E8E"/>
          <w:kern w:val="36"/>
          <w:sz w:val="30"/>
          <w:szCs w:val="30"/>
        </w:rPr>
        <w:t>A</w:t>
      </w:r>
      <w:r w:rsidR="00BE5CEB" w:rsidRPr="00BE5CEB">
        <w:rPr>
          <w:rFonts w:ascii="Arial" w:eastAsia="Times New Roman" w:hAnsi="Arial" w:cs="Arial"/>
          <w:b/>
          <w:bCs/>
          <w:color w:val="253E8E"/>
          <w:kern w:val="36"/>
          <w:sz w:val="30"/>
          <w:szCs w:val="30"/>
        </w:rPr>
        <w:t>bout BDO Private Bank</w:t>
      </w:r>
    </w:p>
    <w:p w:rsidR="00BE5CEB" w:rsidRPr="00BE5CEB" w:rsidRDefault="00BE5CEB" w:rsidP="00BE5CEB">
      <w:pPr>
        <w:numPr>
          <w:ilvl w:val="0"/>
          <w:numId w:val="1"/>
        </w:numPr>
        <w:spacing w:after="0" w:line="240" w:lineRule="auto"/>
        <w:ind w:left="450"/>
        <w:rPr>
          <w:rFonts w:ascii="Times New Roman" w:eastAsia="Times New Roman" w:hAnsi="Times New Roman" w:cs="Times New Roman"/>
          <w:b/>
          <w:bCs/>
          <w:color w:val="253E8E"/>
          <w:sz w:val="18"/>
          <w:szCs w:val="18"/>
          <w:bdr w:val="none" w:sz="0" w:space="0" w:color="auto" w:frame="1"/>
        </w:rPr>
      </w:pPr>
      <w:r w:rsidRPr="00BE5CEB">
        <w:rPr>
          <w:rFonts w:ascii="Arial" w:eastAsia="Times New Roman" w:hAnsi="Arial" w:cs="Arial"/>
          <w:color w:val="666666"/>
          <w:sz w:val="18"/>
          <w:szCs w:val="18"/>
        </w:rPr>
        <w:fldChar w:fldCharType="begin"/>
      </w:r>
      <w:r w:rsidRPr="00BE5CEB">
        <w:rPr>
          <w:rFonts w:ascii="Arial" w:eastAsia="Times New Roman" w:hAnsi="Arial" w:cs="Arial"/>
          <w:color w:val="666666"/>
          <w:sz w:val="18"/>
          <w:szCs w:val="18"/>
        </w:rPr>
        <w:instrText xml:space="preserve"> HYPERLINK "http://www.bdo.com.ph/PrivateBanking/AboutUs.asp" </w:instrText>
      </w:r>
      <w:r w:rsidRPr="00BE5CEB">
        <w:rPr>
          <w:rFonts w:ascii="Arial" w:eastAsia="Times New Roman" w:hAnsi="Arial" w:cs="Arial"/>
          <w:color w:val="666666"/>
          <w:sz w:val="18"/>
          <w:szCs w:val="18"/>
        </w:rPr>
        <w:fldChar w:fldCharType="separate"/>
      </w:r>
    </w:p>
    <w:p w:rsidR="00BE5CEB" w:rsidRPr="00BE5CEB" w:rsidRDefault="00BE5CEB" w:rsidP="00BE5CEB">
      <w:pPr>
        <w:spacing w:before="150" w:after="150" w:line="240" w:lineRule="auto"/>
        <w:outlineLvl w:val="1"/>
        <w:rPr>
          <w:rFonts w:ascii="Times New Roman" w:eastAsia="Times New Roman" w:hAnsi="Times New Roman" w:cs="Times New Roman"/>
          <w:b/>
          <w:bCs/>
          <w:sz w:val="21"/>
          <w:szCs w:val="21"/>
        </w:rPr>
      </w:pPr>
      <w:r w:rsidRPr="00BE5CEB">
        <w:rPr>
          <w:rFonts w:ascii="Arial" w:eastAsia="Times New Roman" w:hAnsi="Arial" w:cs="Arial"/>
          <w:b/>
          <w:bCs/>
          <w:color w:val="253E8E"/>
          <w:sz w:val="21"/>
          <w:szCs w:val="21"/>
          <w:bdr w:val="none" w:sz="0" w:space="0" w:color="auto" w:frame="1"/>
        </w:rPr>
        <w:t>History</w:t>
      </w:r>
    </w:p>
    <w:p w:rsidR="00BE5CEB" w:rsidRPr="00BE5CEB" w:rsidRDefault="00BE5CEB" w:rsidP="00BE5CEB">
      <w:pPr>
        <w:spacing w:after="0" w:line="240" w:lineRule="auto"/>
        <w:rPr>
          <w:rFonts w:ascii="Arial" w:eastAsia="Times New Roman" w:hAnsi="Arial" w:cs="Arial"/>
          <w:color w:val="666666"/>
          <w:sz w:val="18"/>
          <w:szCs w:val="18"/>
        </w:rPr>
      </w:pPr>
      <w:r w:rsidRPr="00BE5CEB">
        <w:rPr>
          <w:rFonts w:ascii="Arial" w:eastAsia="Times New Roman" w:hAnsi="Arial" w:cs="Arial"/>
          <w:color w:val="666666"/>
          <w:sz w:val="18"/>
          <w:szCs w:val="18"/>
        </w:rPr>
        <w:fldChar w:fldCharType="end"/>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 xml:space="preserve">In 1995, Santander Central Hispano, the largest Spanish bank, established </w:t>
      </w:r>
      <w:proofErr w:type="spellStart"/>
      <w:r w:rsidRPr="00BE5CEB">
        <w:rPr>
          <w:rFonts w:ascii="Arial" w:eastAsia="Times New Roman" w:hAnsi="Arial" w:cs="Arial"/>
          <w:color w:val="666666"/>
          <w:sz w:val="18"/>
          <w:szCs w:val="18"/>
        </w:rPr>
        <w:t>Banco</w:t>
      </w:r>
      <w:proofErr w:type="spellEnd"/>
      <w:r w:rsidRPr="00BE5CEB">
        <w:rPr>
          <w:rFonts w:ascii="Arial" w:eastAsia="Times New Roman" w:hAnsi="Arial" w:cs="Arial"/>
          <w:color w:val="666666"/>
          <w:sz w:val="18"/>
          <w:szCs w:val="18"/>
        </w:rPr>
        <w:t xml:space="preserve"> Santander Philippines as its local banking subsidiary. In the same year, Santander Investment, S. A. entered the Philippine securities market with the incorporation of Santander Investment Securities Philippines, Inc. with a member-seat at the Philippine Stock Exchange.</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With corporate offices located at the 27/F Ayala Tower One, Ayala Avenue, City of Makati, BSPI and SISPI operated as a commercial bank and a securities brokerage company respectively to a select niche group of discriminating corporate and individual customers seeking only the highest quality of investment products and services in the banking industry.</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 xml:space="preserve">The Santander Group's strict adherence to global banking standards has made it known in the Philippine banking industry as the pioneer in the origination and distribution of fixed income securities. In August of 2003, </w:t>
      </w:r>
      <w:proofErr w:type="spellStart"/>
      <w:r w:rsidRPr="00BE5CEB">
        <w:rPr>
          <w:rFonts w:ascii="Arial" w:eastAsia="Times New Roman" w:hAnsi="Arial" w:cs="Arial"/>
          <w:color w:val="666666"/>
          <w:sz w:val="18"/>
          <w:szCs w:val="18"/>
        </w:rPr>
        <w:t>Banco</w:t>
      </w:r>
      <w:proofErr w:type="spellEnd"/>
      <w:r w:rsidRPr="00BE5CEB">
        <w:rPr>
          <w:rFonts w:ascii="Arial" w:eastAsia="Times New Roman" w:hAnsi="Arial" w:cs="Arial"/>
          <w:color w:val="666666"/>
          <w:sz w:val="18"/>
          <w:szCs w:val="18"/>
        </w:rPr>
        <w:t xml:space="preserve"> de Oro Universal Bank acquired the local banking unit of </w:t>
      </w:r>
      <w:proofErr w:type="spellStart"/>
      <w:r w:rsidRPr="00BE5CEB">
        <w:rPr>
          <w:rFonts w:ascii="Arial" w:eastAsia="Times New Roman" w:hAnsi="Arial" w:cs="Arial"/>
          <w:color w:val="666666"/>
          <w:sz w:val="18"/>
          <w:szCs w:val="18"/>
        </w:rPr>
        <w:t>Banco</w:t>
      </w:r>
      <w:proofErr w:type="spellEnd"/>
      <w:r w:rsidRPr="00BE5CEB">
        <w:rPr>
          <w:rFonts w:ascii="Arial" w:eastAsia="Times New Roman" w:hAnsi="Arial" w:cs="Arial"/>
          <w:color w:val="666666"/>
          <w:sz w:val="18"/>
          <w:szCs w:val="18"/>
        </w:rPr>
        <w:t xml:space="preserve"> Santander with its commercial, trust and derivatives licenses to become BDO Private Bank.</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 xml:space="preserve">Simultaneously, BDO Capital acquired Santander Investment. </w:t>
      </w:r>
      <w:proofErr w:type="gramStart"/>
      <w:r w:rsidRPr="00BE5CEB">
        <w:rPr>
          <w:rFonts w:ascii="Arial" w:eastAsia="Times New Roman" w:hAnsi="Arial" w:cs="Arial"/>
          <w:color w:val="666666"/>
          <w:sz w:val="18"/>
          <w:szCs w:val="18"/>
        </w:rPr>
        <w:t>Securities Philippines, Inc. from Santander Investment, S. A. for its securities and brokerage licenses to become BDO Securities Corporation.</w:t>
      </w:r>
      <w:proofErr w:type="gramEnd"/>
      <w:r w:rsidRPr="00BE5CEB">
        <w:rPr>
          <w:rFonts w:ascii="Arial" w:eastAsia="Times New Roman" w:hAnsi="Arial" w:cs="Arial"/>
          <w:color w:val="666666"/>
          <w:sz w:val="18"/>
          <w:szCs w:val="18"/>
        </w:rPr>
        <w:t xml:space="preserve"> With the acquisition of the 2 vehicles, </w:t>
      </w:r>
      <w:proofErr w:type="spellStart"/>
      <w:r w:rsidRPr="00BE5CEB">
        <w:rPr>
          <w:rFonts w:ascii="Arial" w:eastAsia="Times New Roman" w:hAnsi="Arial" w:cs="Arial"/>
          <w:color w:val="666666"/>
          <w:sz w:val="18"/>
          <w:szCs w:val="18"/>
        </w:rPr>
        <w:t>Banco</w:t>
      </w:r>
      <w:proofErr w:type="spellEnd"/>
      <w:r w:rsidRPr="00BE5CEB">
        <w:rPr>
          <w:rFonts w:ascii="Arial" w:eastAsia="Times New Roman" w:hAnsi="Arial" w:cs="Arial"/>
          <w:color w:val="666666"/>
          <w:sz w:val="18"/>
          <w:szCs w:val="18"/>
        </w:rPr>
        <w:t xml:space="preserve"> de Oro was prepared to deliver new products and services to a select group of discriminating </w:t>
      </w:r>
      <w:proofErr w:type="spellStart"/>
      <w:r w:rsidRPr="00BE5CEB">
        <w:rPr>
          <w:rFonts w:ascii="Arial" w:eastAsia="Times New Roman" w:hAnsi="Arial" w:cs="Arial"/>
          <w:color w:val="666666"/>
          <w:sz w:val="18"/>
          <w:szCs w:val="18"/>
        </w:rPr>
        <w:t>investorsâ</w:t>
      </w:r>
      <w:proofErr w:type="spellEnd"/>
      <w:r w:rsidRPr="00BE5CEB">
        <w:rPr>
          <w:rFonts w:ascii="Arial" w:eastAsia="Times New Roman" w:hAnsi="Arial" w:cs="Arial"/>
          <w:color w:val="666666"/>
          <w:sz w:val="18"/>
          <w:szCs w:val="18"/>
        </w:rPr>
        <w:t>€¦ the Private Bank customer.</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The business of Private Banking involves 2 market segments: Private Banking customers with a minimum investment wallet size of 3 million US dollars, and the Modern Affluent market with a minimum investment wallet size of 100 thousand US dollars. The Private Banking market has an estimated size of 10 billion US dollars, while the Mass Affluent market is about 8 billion US dollars. Combined, this market is approximately 1.0% of the domestic population. BDO Private Bank is focused on this market.</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It is evident that the domestic banks have recognized the potential of this market with the proliferation of various business units solely catering to the Private Banking needs of these individuals. Likewise, offshore banks, who have recognized the business potential much earlier, have established relationships with several key customers in this market.</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Our clientele are mainly businessperson, entrepreneurs, business executives, professionals and retirees with a minimum wallet size of 10 million pesos. They are discriminating in lifestyle, as evidenced by their prudent selection of banks, financial institutions, securities brokers/dealers, insurance companies, financial and investment advisors. They recognize that there is delicate balance between risk and return on investments.</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Their investment portfolio, determined by their investment needs and risk appetite, is mainly composed of deposits, investment in fixed income and equity securities. They have also started investing in derivative instruments. BDO Private Bank applies the Open Architecture Approach to focus on the wealth management relationship with the clients. Recognizing that the bank will have limited transaction capabilities, it will draw from the power and strength of other BDO business units and subsidiaries to complement its suite of products and services. Likewise, the bank will open relationships with domestic and offshore foreign affiliates to complement its suite of investment products and services.</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lastRenderedPageBreak/>
        <w:t>BDO Private Bank will be consolidating, protecting and expanding the relationship with clients through financial planning, investment advisory and execution, and tax and estate advisory services. The primary goal of BDO Private Bank is to create market share in the Private Banking/Modern Affluent Market segment by penetrating key areas in BDO's network.</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The Private Bank likewise extends itself as the vehicle to deepen and expand relationships with existing clients by offering the products and services of a private banking institution, otherwise not serviced by the current menu of products available in the main bank. The aim of the Private Bank is to complement and explore how the BDO Group can service all the financial and investment needs of the client.</w:t>
      </w:r>
    </w:p>
    <w:p w:rsidR="00BE5CEB" w:rsidRPr="00BE5CEB" w:rsidRDefault="00BE5CEB" w:rsidP="00BE5CEB">
      <w:pPr>
        <w:spacing w:after="0" w:line="240" w:lineRule="auto"/>
        <w:rPr>
          <w:rFonts w:ascii="Arial" w:eastAsia="Times New Roman" w:hAnsi="Arial" w:cs="Arial"/>
          <w:b/>
          <w:bCs/>
          <w:color w:val="253E8E"/>
          <w:sz w:val="18"/>
          <w:szCs w:val="18"/>
          <w:bdr w:val="none" w:sz="0" w:space="0" w:color="auto" w:frame="1"/>
        </w:rPr>
      </w:pPr>
      <w:r w:rsidRPr="00BE5CEB">
        <w:rPr>
          <w:rFonts w:ascii="Arial" w:eastAsia="Times New Roman" w:hAnsi="Arial" w:cs="Arial"/>
          <w:color w:val="666666"/>
          <w:sz w:val="18"/>
        </w:rPr>
        <w:fldChar w:fldCharType="begin"/>
      </w:r>
      <w:r w:rsidRPr="00BE5CEB">
        <w:rPr>
          <w:rFonts w:ascii="Arial" w:eastAsia="Times New Roman" w:hAnsi="Arial" w:cs="Arial"/>
          <w:color w:val="666666"/>
          <w:sz w:val="18"/>
        </w:rPr>
        <w:instrText xml:space="preserve"> HYPERLINK "http://www.bdo.com.ph/PrivateBanking/AboutUs.asp" </w:instrText>
      </w:r>
      <w:r w:rsidRPr="00BE5CEB">
        <w:rPr>
          <w:rFonts w:ascii="Arial" w:eastAsia="Times New Roman" w:hAnsi="Arial" w:cs="Arial"/>
          <w:color w:val="666666"/>
          <w:sz w:val="18"/>
        </w:rPr>
        <w:fldChar w:fldCharType="separate"/>
      </w:r>
    </w:p>
    <w:p w:rsidR="00BE5CEB" w:rsidRPr="00BE5CEB" w:rsidRDefault="00BE5CEB" w:rsidP="00BE5CEB">
      <w:pPr>
        <w:spacing w:before="150" w:after="150" w:line="240" w:lineRule="auto"/>
        <w:outlineLvl w:val="1"/>
        <w:rPr>
          <w:rFonts w:ascii="Times New Roman" w:eastAsia="Times New Roman" w:hAnsi="Times New Roman" w:cs="Times New Roman"/>
          <w:b/>
          <w:bCs/>
          <w:sz w:val="21"/>
          <w:szCs w:val="21"/>
        </w:rPr>
      </w:pPr>
      <w:r w:rsidRPr="00BE5CEB">
        <w:rPr>
          <w:rFonts w:ascii="Arial" w:eastAsia="Times New Roman" w:hAnsi="Arial" w:cs="Arial"/>
          <w:b/>
          <w:bCs/>
          <w:color w:val="253E8E"/>
          <w:sz w:val="21"/>
          <w:szCs w:val="21"/>
          <w:bdr w:val="none" w:sz="0" w:space="0" w:color="auto" w:frame="1"/>
        </w:rPr>
        <w:t>Mission</w:t>
      </w:r>
    </w:p>
    <w:p w:rsidR="00BE5CEB" w:rsidRPr="00BE5CEB" w:rsidRDefault="00BE5CEB" w:rsidP="00BE5CEB">
      <w:pPr>
        <w:spacing w:after="0" w:line="240" w:lineRule="auto"/>
        <w:rPr>
          <w:rFonts w:ascii="Times New Roman" w:eastAsia="Times New Roman" w:hAnsi="Times New Roman" w:cs="Times New Roman"/>
          <w:color w:val="666666"/>
          <w:sz w:val="18"/>
          <w:szCs w:val="18"/>
        </w:rPr>
      </w:pPr>
      <w:r w:rsidRPr="00BE5CEB">
        <w:rPr>
          <w:rFonts w:ascii="Arial" w:eastAsia="Times New Roman" w:hAnsi="Arial" w:cs="Arial"/>
          <w:color w:val="666666"/>
          <w:sz w:val="18"/>
        </w:rPr>
        <w:fldChar w:fldCharType="end"/>
      </w:r>
    </w:p>
    <w:p w:rsidR="00BE5CEB" w:rsidRPr="00BE5CEB" w:rsidRDefault="00BE5CEB" w:rsidP="00BE5CEB">
      <w:pPr>
        <w:spacing w:before="105" w:after="150" w:line="270" w:lineRule="atLeast"/>
        <w:rPr>
          <w:rFonts w:ascii="Times New Roman" w:eastAsia="Times New Roman" w:hAnsi="Times New Roman" w:cs="Times New Roman"/>
          <w:sz w:val="24"/>
          <w:szCs w:val="24"/>
        </w:rPr>
      </w:pPr>
      <w:r w:rsidRPr="00BE5CEB">
        <w:rPr>
          <w:rFonts w:ascii="Arial" w:eastAsia="Times New Roman" w:hAnsi="Arial" w:cs="Arial"/>
          <w:color w:val="666666"/>
          <w:sz w:val="18"/>
          <w:szCs w:val="18"/>
        </w:rPr>
        <w:t>* Our purpose is to help clients meet their financial objectives.</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 Our goal is to be the best in what we do as individuals and as a firm.</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 Our execution shall be seamless.</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 Our service should be par excellence.</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 Our integrity will not be compromised.</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We are BDO Private Bank.</w:t>
      </w:r>
    </w:p>
    <w:p w:rsidR="00BE5CEB" w:rsidRPr="00BE5CEB" w:rsidRDefault="00BE5CEB" w:rsidP="00BE5CEB">
      <w:pPr>
        <w:spacing w:after="0" w:line="240" w:lineRule="auto"/>
        <w:rPr>
          <w:rFonts w:ascii="Arial" w:eastAsia="Times New Roman" w:hAnsi="Arial" w:cs="Arial"/>
          <w:b/>
          <w:bCs/>
          <w:color w:val="253E8E"/>
          <w:sz w:val="18"/>
          <w:szCs w:val="18"/>
          <w:bdr w:val="none" w:sz="0" w:space="0" w:color="auto" w:frame="1"/>
        </w:rPr>
      </w:pPr>
      <w:r w:rsidRPr="00BE5CEB">
        <w:rPr>
          <w:rFonts w:ascii="Arial" w:eastAsia="Times New Roman" w:hAnsi="Arial" w:cs="Arial"/>
          <w:color w:val="666666"/>
          <w:sz w:val="18"/>
        </w:rPr>
        <w:fldChar w:fldCharType="begin"/>
      </w:r>
      <w:r w:rsidRPr="00BE5CEB">
        <w:rPr>
          <w:rFonts w:ascii="Arial" w:eastAsia="Times New Roman" w:hAnsi="Arial" w:cs="Arial"/>
          <w:color w:val="666666"/>
          <w:sz w:val="18"/>
        </w:rPr>
        <w:instrText xml:space="preserve"> HYPERLINK "http://www.bdo.com.ph/PrivateBanking/AboutUs.asp" </w:instrText>
      </w:r>
      <w:r w:rsidRPr="00BE5CEB">
        <w:rPr>
          <w:rFonts w:ascii="Arial" w:eastAsia="Times New Roman" w:hAnsi="Arial" w:cs="Arial"/>
          <w:color w:val="666666"/>
          <w:sz w:val="18"/>
        </w:rPr>
        <w:fldChar w:fldCharType="separate"/>
      </w:r>
    </w:p>
    <w:p w:rsidR="00BE5CEB" w:rsidRPr="00BE5CEB" w:rsidRDefault="00BE5CEB" w:rsidP="00BE5CEB">
      <w:pPr>
        <w:spacing w:before="150" w:after="150" w:line="240" w:lineRule="auto"/>
        <w:outlineLvl w:val="1"/>
        <w:rPr>
          <w:rFonts w:ascii="Times New Roman" w:eastAsia="Times New Roman" w:hAnsi="Times New Roman" w:cs="Times New Roman"/>
          <w:b/>
          <w:bCs/>
          <w:sz w:val="21"/>
          <w:szCs w:val="21"/>
        </w:rPr>
      </w:pPr>
      <w:r w:rsidRPr="00BE5CEB">
        <w:rPr>
          <w:rFonts w:ascii="Arial" w:eastAsia="Times New Roman" w:hAnsi="Arial" w:cs="Arial"/>
          <w:b/>
          <w:bCs/>
          <w:color w:val="253E8E"/>
          <w:sz w:val="21"/>
          <w:szCs w:val="21"/>
          <w:bdr w:val="none" w:sz="0" w:space="0" w:color="auto" w:frame="1"/>
        </w:rPr>
        <w:t>Philosophy</w:t>
      </w:r>
    </w:p>
    <w:p w:rsidR="00BE5CEB" w:rsidRPr="00BE5CEB" w:rsidRDefault="00BE5CEB" w:rsidP="00BE5CEB">
      <w:pPr>
        <w:spacing w:after="0" w:line="240" w:lineRule="auto"/>
        <w:rPr>
          <w:rFonts w:ascii="Times New Roman" w:eastAsia="Times New Roman" w:hAnsi="Times New Roman" w:cs="Times New Roman"/>
          <w:color w:val="666666"/>
          <w:sz w:val="18"/>
          <w:szCs w:val="18"/>
        </w:rPr>
      </w:pPr>
      <w:r w:rsidRPr="00BE5CEB">
        <w:rPr>
          <w:rFonts w:ascii="Arial" w:eastAsia="Times New Roman" w:hAnsi="Arial" w:cs="Arial"/>
          <w:color w:val="666666"/>
          <w:sz w:val="18"/>
        </w:rPr>
        <w:fldChar w:fldCharType="end"/>
      </w:r>
    </w:p>
    <w:p w:rsidR="00BE5CEB" w:rsidRPr="00BE5CEB" w:rsidRDefault="00BE5CEB" w:rsidP="00BE5CEB">
      <w:pPr>
        <w:spacing w:before="105" w:after="150" w:line="270" w:lineRule="atLeast"/>
        <w:rPr>
          <w:rFonts w:ascii="Times New Roman" w:eastAsia="Times New Roman" w:hAnsi="Times New Roman" w:cs="Times New Roman"/>
          <w:sz w:val="24"/>
          <w:szCs w:val="24"/>
        </w:rPr>
      </w:pPr>
      <w:r w:rsidRPr="00BE5CEB">
        <w:rPr>
          <w:rFonts w:ascii="Arial" w:eastAsia="Times New Roman" w:hAnsi="Arial" w:cs="Arial"/>
          <w:color w:val="666666"/>
          <w:sz w:val="18"/>
          <w:szCs w:val="18"/>
        </w:rPr>
        <w:t>We seek to preserve and enhance the value of our clients' assets by achieving returns that outpace predefined market benchmarks.</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We encourage diversification among asset classes and individual securities to mitigate price/market volatility. With these, we seek to grow and protect our clients' wealth for the enjoyment of their successors and their heirs.</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We customize investment strategies to address each client's unique circumstances, as well as specific preferences for income, liquidity and risk.</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Where appropriate, we pursue cross-border investment opportunities to enhance returns and provide additional diversification.</w:t>
      </w:r>
    </w:p>
    <w:p w:rsidR="00BE5CEB" w:rsidRPr="00BE5CEB" w:rsidRDefault="00BE5CEB" w:rsidP="00BE5CEB">
      <w:pPr>
        <w:spacing w:after="0" w:line="240" w:lineRule="auto"/>
        <w:rPr>
          <w:rFonts w:ascii="Arial" w:eastAsia="Times New Roman" w:hAnsi="Arial" w:cs="Arial"/>
          <w:b/>
          <w:bCs/>
          <w:color w:val="253E8E"/>
          <w:sz w:val="18"/>
          <w:szCs w:val="18"/>
          <w:bdr w:val="none" w:sz="0" w:space="0" w:color="auto" w:frame="1"/>
        </w:rPr>
      </w:pPr>
      <w:r w:rsidRPr="00BE5CEB">
        <w:rPr>
          <w:rFonts w:ascii="Arial" w:eastAsia="Times New Roman" w:hAnsi="Arial" w:cs="Arial"/>
          <w:color w:val="666666"/>
          <w:sz w:val="18"/>
        </w:rPr>
        <w:fldChar w:fldCharType="begin"/>
      </w:r>
      <w:r w:rsidRPr="00BE5CEB">
        <w:rPr>
          <w:rFonts w:ascii="Arial" w:eastAsia="Times New Roman" w:hAnsi="Arial" w:cs="Arial"/>
          <w:color w:val="666666"/>
          <w:sz w:val="18"/>
        </w:rPr>
        <w:instrText xml:space="preserve"> HYPERLINK "http://www.bdo.com.ph/PrivateBanking/AboutUs.asp" </w:instrText>
      </w:r>
      <w:r w:rsidRPr="00BE5CEB">
        <w:rPr>
          <w:rFonts w:ascii="Arial" w:eastAsia="Times New Roman" w:hAnsi="Arial" w:cs="Arial"/>
          <w:color w:val="666666"/>
          <w:sz w:val="18"/>
        </w:rPr>
        <w:fldChar w:fldCharType="separate"/>
      </w:r>
    </w:p>
    <w:p w:rsidR="00BE5CEB" w:rsidRPr="00BE5CEB" w:rsidRDefault="00BE5CEB" w:rsidP="00BE5CEB">
      <w:pPr>
        <w:spacing w:before="150" w:after="150" w:line="240" w:lineRule="auto"/>
        <w:outlineLvl w:val="1"/>
        <w:rPr>
          <w:rFonts w:ascii="Times New Roman" w:eastAsia="Times New Roman" w:hAnsi="Times New Roman" w:cs="Times New Roman"/>
          <w:b/>
          <w:bCs/>
          <w:sz w:val="21"/>
          <w:szCs w:val="21"/>
        </w:rPr>
      </w:pPr>
      <w:r w:rsidRPr="00BE5CEB">
        <w:rPr>
          <w:rFonts w:ascii="Arial" w:eastAsia="Times New Roman" w:hAnsi="Arial" w:cs="Arial"/>
          <w:b/>
          <w:bCs/>
          <w:color w:val="253E8E"/>
          <w:sz w:val="21"/>
          <w:szCs w:val="21"/>
          <w:bdr w:val="none" w:sz="0" w:space="0" w:color="auto" w:frame="1"/>
        </w:rPr>
        <w:t>Commitment</w:t>
      </w:r>
    </w:p>
    <w:p w:rsidR="00BE5CEB" w:rsidRPr="00BE5CEB" w:rsidRDefault="00BE5CEB" w:rsidP="00BE5CEB">
      <w:pPr>
        <w:spacing w:after="0" w:line="240" w:lineRule="auto"/>
        <w:rPr>
          <w:rFonts w:ascii="Times New Roman" w:eastAsia="Times New Roman" w:hAnsi="Times New Roman" w:cs="Times New Roman"/>
          <w:color w:val="666666"/>
          <w:sz w:val="18"/>
          <w:szCs w:val="18"/>
        </w:rPr>
      </w:pPr>
      <w:r w:rsidRPr="00BE5CEB">
        <w:rPr>
          <w:rFonts w:ascii="Arial" w:eastAsia="Times New Roman" w:hAnsi="Arial" w:cs="Arial"/>
          <w:color w:val="666666"/>
          <w:sz w:val="18"/>
        </w:rPr>
        <w:fldChar w:fldCharType="end"/>
      </w:r>
    </w:p>
    <w:p w:rsidR="00BE5CEB" w:rsidRPr="00BE5CEB" w:rsidRDefault="00BE5CEB" w:rsidP="00BE5CEB">
      <w:pPr>
        <w:spacing w:before="105" w:after="150" w:line="270" w:lineRule="atLeast"/>
        <w:rPr>
          <w:rFonts w:ascii="Times New Roman" w:eastAsia="Times New Roman" w:hAnsi="Times New Roman" w:cs="Times New Roman"/>
          <w:sz w:val="24"/>
          <w:szCs w:val="24"/>
        </w:rPr>
      </w:pPr>
      <w:r w:rsidRPr="00BE5CEB">
        <w:rPr>
          <w:rFonts w:ascii="Arial" w:eastAsia="Times New Roman" w:hAnsi="Arial" w:cs="Arial"/>
          <w:color w:val="666666"/>
          <w:sz w:val="18"/>
          <w:szCs w:val="18"/>
        </w:rPr>
        <w:t>To Clients:</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 Deliver high value products and quality service</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 Offer innovative solutions to specific needs</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 Provide timely advice and investment/market information</w:t>
      </w:r>
    </w:p>
    <w:p w:rsidR="00BE5CEB" w:rsidRPr="00BE5CEB" w:rsidRDefault="00BE5CEB" w:rsidP="00BE5CEB">
      <w:pPr>
        <w:spacing w:after="0" w:line="240" w:lineRule="auto"/>
        <w:rPr>
          <w:rFonts w:ascii="Arial" w:eastAsia="Times New Roman" w:hAnsi="Arial" w:cs="Arial"/>
          <w:color w:val="666666"/>
          <w:sz w:val="18"/>
          <w:szCs w:val="18"/>
        </w:rPr>
      </w:pP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lastRenderedPageBreak/>
        <w:t>To Shareholders:</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 Maximize return on investment</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 Manage our business with the highest professional, ethical and moral standards</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 Pursue opportunities that improve shareholder value</w:t>
      </w:r>
    </w:p>
    <w:p w:rsidR="00BE5CEB" w:rsidRPr="00BE5CEB" w:rsidRDefault="00BE5CEB" w:rsidP="00BE5CEB">
      <w:pPr>
        <w:spacing w:after="0" w:line="240" w:lineRule="auto"/>
        <w:rPr>
          <w:rFonts w:ascii="Arial" w:eastAsia="Times New Roman" w:hAnsi="Arial" w:cs="Arial"/>
          <w:color w:val="666666"/>
          <w:sz w:val="18"/>
          <w:szCs w:val="18"/>
        </w:rPr>
      </w:pP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To Associates:</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 Create a responsive environment that promotes teamwork</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 Recognize individual worth and contribution</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 * Maintain and enhance the intellectual capital of our associates through rigorous and relevant training and education</w:t>
      </w:r>
    </w:p>
    <w:p w:rsidR="00BE5CEB" w:rsidRPr="00BE5CEB" w:rsidRDefault="00BE5CEB" w:rsidP="00BE5CEB">
      <w:pPr>
        <w:spacing w:after="0" w:line="240" w:lineRule="auto"/>
        <w:rPr>
          <w:rFonts w:ascii="Arial" w:eastAsia="Times New Roman" w:hAnsi="Arial" w:cs="Arial"/>
          <w:color w:val="666666"/>
          <w:sz w:val="18"/>
          <w:szCs w:val="18"/>
        </w:rPr>
      </w:pP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Our commitment to provide the best financial service to our clients requires us to be prudent in our design of financial solutions. We undertake to render proper due diligence, objective valuation and full disclosure of material information. Through this process, we apply global standards in creating active markets for instruments we sponsor and offer to our clients.</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Our product offerings are based on an open product architecture model, where clients are offered the best available products regardless of provider, an approach geared towards delivering the highest possible returns to each of our client groups.</w:t>
      </w:r>
    </w:p>
    <w:p w:rsidR="00BE5CEB" w:rsidRPr="00BE5CEB" w:rsidRDefault="00BE5CEB" w:rsidP="00BE5CEB">
      <w:pPr>
        <w:spacing w:before="105" w:after="150" w:line="270" w:lineRule="atLeast"/>
        <w:rPr>
          <w:rFonts w:ascii="Arial" w:eastAsia="Times New Roman" w:hAnsi="Arial" w:cs="Arial"/>
          <w:color w:val="666666"/>
          <w:sz w:val="18"/>
          <w:szCs w:val="18"/>
        </w:rPr>
      </w:pPr>
      <w:r w:rsidRPr="00BE5CEB">
        <w:rPr>
          <w:rFonts w:ascii="Arial" w:eastAsia="Times New Roman" w:hAnsi="Arial" w:cs="Arial"/>
          <w:color w:val="666666"/>
          <w:sz w:val="18"/>
          <w:szCs w:val="18"/>
        </w:rPr>
        <w:t>In all these we anchor our commitment on a solid base, a sound balance sheet and a strong team of professionals.</w:t>
      </w:r>
    </w:p>
    <w:p w:rsidR="00357562" w:rsidRDefault="00357562"/>
    <w:sectPr w:rsidR="00357562" w:rsidSect="0035756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DF3E38"/>
    <w:multiLevelType w:val="multilevel"/>
    <w:tmpl w:val="6688E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E5CEB"/>
    <w:rsid w:val="00357562"/>
    <w:rsid w:val="007C4AD7"/>
    <w:rsid w:val="00B444AC"/>
    <w:rsid w:val="00BE5CEB"/>
    <w:rsid w:val="00CB10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562"/>
  </w:style>
  <w:style w:type="paragraph" w:styleId="Heading1">
    <w:name w:val="heading 1"/>
    <w:basedOn w:val="Normal"/>
    <w:link w:val="Heading1Char"/>
    <w:uiPriority w:val="9"/>
    <w:qFormat/>
    <w:rsid w:val="00BE5CE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BE5CE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5CE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E5CEB"/>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BE5CEB"/>
    <w:rPr>
      <w:color w:val="0000FF"/>
      <w:u w:val="single"/>
    </w:rPr>
  </w:style>
  <w:style w:type="paragraph" w:styleId="NormalWeb">
    <w:name w:val="Normal (Web)"/>
    <w:basedOn w:val="Normal"/>
    <w:uiPriority w:val="99"/>
    <w:semiHidden/>
    <w:unhideWhenUsed/>
    <w:rsid w:val="00BE5C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style-span">
    <w:name w:val="apple-style-span"/>
    <w:basedOn w:val="DefaultParagraphFont"/>
    <w:rsid w:val="00BE5CEB"/>
  </w:style>
</w:styles>
</file>

<file path=word/webSettings.xml><?xml version="1.0" encoding="utf-8"?>
<w:webSettings xmlns:r="http://schemas.openxmlformats.org/officeDocument/2006/relationships" xmlns:w="http://schemas.openxmlformats.org/wordprocessingml/2006/main">
  <w:divs>
    <w:div w:id="581764651">
      <w:bodyDiv w:val="1"/>
      <w:marLeft w:val="0"/>
      <w:marRight w:val="0"/>
      <w:marTop w:val="0"/>
      <w:marBottom w:val="0"/>
      <w:divBdr>
        <w:top w:val="none" w:sz="0" w:space="0" w:color="auto"/>
        <w:left w:val="none" w:sz="0" w:space="0" w:color="auto"/>
        <w:bottom w:val="none" w:sz="0" w:space="0" w:color="auto"/>
        <w:right w:val="none" w:sz="0" w:space="0" w:color="auto"/>
      </w:divBdr>
      <w:divsChild>
        <w:div w:id="2114670915">
          <w:marLeft w:val="450"/>
          <w:marRight w:val="0"/>
          <w:marTop w:val="0"/>
          <w:marBottom w:val="0"/>
          <w:divBdr>
            <w:top w:val="none" w:sz="0" w:space="0" w:color="auto"/>
            <w:left w:val="none" w:sz="0" w:space="0" w:color="auto"/>
            <w:bottom w:val="none" w:sz="0" w:space="0" w:color="auto"/>
            <w:right w:val="none" w:sz="0" w:space="0" w:color="auto"/>
          </w:divBdr>
          <w:divsChild>
            <w:div w:id="661733806">
              <w:marLeft w:val="450"/>
              <w:marRight w:val="0"/>
              <w:marTop w:val="0"/>
              <w:marBottom w:val="0"/>
              <w:divBdr>
                <w:top w:val="none" w:sz="0" w:space="0" w:color="auto"/>
                <w:left w:val="none" w:sz="0" w:space="0" w:color="auto"/>
                <w:bottom w:val="none" w:sz="0" w:space="0" w:color="auto"/>
                <w:right w:val="none" w:sz="0" w:space="0" w:color="auto"/>
              </w:divBdr>
            </w:div>
            <w:div w:id="988217457">
              <w:marLeft w:val="450"/>
              <w:marRight w:val="0"/>
              <w:marTop w:val="0"/>
              <w:marBottom w:val="0"/>
              <w:divBdr>
                <w:top w:val="none" w:sz="0" w:space="0" w:color="auto"/>
                <w:left w:val="none" w:sz="0" w:space="0" w:color="auto"/>
                <w:bottom w:val="none" w:sz="0" w:space="0" w:color="auto"/>
                <w:right w:val="none" w:sz="0" w:space="0" w:color="auto"/>
              </w:divBdr>
            </w:div>
            <w:div w:id="1705866838">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790710431">
      <w:bodyDiv w:val="1"/>
      <w:marLeft w:val="0"/>
      <w:marRight w:val="0"/>
      <w:marTop w:val="0"/>
      <w:marBottom w:val="0"/>
      <w:divBdr>
        <w:top w:val="none" w:sz="0" w:space="0" w:color="auto"/>
        <w:left w:val="none" w:sz="0" w:space="0" w:color="auto"/>
        <w:bottom w:val="none" w:sz="0" w:space="0" w:color="auto"/>
        <w:right w:val="none" w:sz="0" w:space="0" w:color="auto"/>
      </w:divBdr>
      <w:divsChild>
        <w:div w:id="2029524651">
          <w:marLeft w:val="450"/>
          <w:marRight w:val="0"/>
          <w:marTop w:val="0"/>
          <w:marBottom w:val="0"/>
          <w:divBdr>
            <w:top w:val="none" w:sz="0" w:space="0" w:color="auto"/>
            <w:left w:val="none" w:sz="0" w:space="0" w:color="auto"/>
            <w:bottom w:val="none" w:sz="0" w:space="0" w:color="auto"/>
            <w:right w:val="none" w:sz="0" w:space="0" w:color="auto"/>
          </w:divBdr>
        </w:div>
      </w:divsChild>
    </w:div>
    <w:div w:id="1377002765">
      <w:bodyDiv w:val="1"/>
      <w:marLeft w:val="0"/>
      <w:marRight w:val="0"/>
      <w:marTop w:val="0"/>
      <w:marBottom w:val="0"/>
      <w:divBdr>
        <w:top w:val="none" w:sz="0" w:space="0" w:color="auto"/>
        <w:left w:val="none" w:sz="0" w:space="0" w:color="auto"/>
        <w:bottom w:val="none" w:sz="0" w:space="0" w:color="auto"/>
        <w:right w:val="none" w:sz="0" w:space="0" w:color="auto"/>
      </w:divBdr>
      <w:divsChild>
        <w:div w:id="1580216095">
          <w:marLeft w:val="450"/>
          <w:marRight w:val="0"/>
          <w:marTop w:val="0"/>
          <w:marBottom w:val="0"/>
          <w:divBdr>
            <w:top w:val="none" w:sz="0" w:space="0" w:color="auto"/>
            <w:left w:val="none" w:sz="0" w:space="0" w:color="auto"/>
            <w:bottom w:val="none" w:sz="0" w:space="0" w:color="auto"/>
            <w:right w:val="none" w:sz="0" w:space="0" w:color="auto"/>
          </w:divBdr>
          <w:divsChild>
            <w:div w:id="1433934245">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1496915197">
      <w:bodyDiv w:val="1"/>
      <w:marLeft w:val="0"/>
      <w:marRight w:val="0"/>
      <w:marTop w:val="0"/>
      <w:marBottom w:val="0"/>
      <w:divBdr>
        <w:top w:val="none" w:sz="0" w:space="0" w:color="auto"/>
        <w:left w:val="none" w:sz="0" w:space="0" w:color="auto"/>
        <w:bottom w:val="none" w:sz="0" w:space="0" w:color="auto"/>
        <w:right w:val="none" w:sz="0" w:space="0" w:color="auto"/>
      </w:divBdr>
      <w:divsChild>
        <w:div w:id="680084290">
          <w:marLeft w:val="450"/>
          <w:marRight w:val="0"/>
          <w:marTop w:val="0"/>
          <w:marBottom w:val="0"/>
          <w:divBdr>
            <w:top w:val="none" w:sz="0" w:space="0" w:color="auto"/>
            <w:left w:val="none" w:sz="0" w:space="0" w:color="auto"/>
            <w:bottom w:val="none" w:sz="0" w:space="0" w:color="auto"/>
            <w:right w:val="none" w:sz="0" w:space="0" w:color="auto"/>
          </w:divBdr>
          <w:divsChild>
            <w:div w:id="618028566">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1011</Words>
  <Characters>5768</Characters>
  <Application>Microsoft Office Word</Application>
  <DocSecurity>0</DocSecurity>
  <Lines>48</Lines>
  <Paragraphs>13</Paragraphs>
  <ScaleCrop>false</ScaleCrop>
  <Company>Grizli777</Company>
  <LinksUpToDate>false</LinksUpToDate>
  <CharactersWithSpaces>6766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2011-07-06T19:41:00Z</dcterms:created>
  <dcterms:modified xsi:type="dcterms:W3CDTF">2011-07-06T19:42:00Z</dcterms:modified>
</cp:coreProperties>
</file>